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A9" w:rsidRPr="00BB26A9" w:rsidRDefault="00BB26A9" w:rsidP="00BB26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>ПЛЕНУМ ВЕРХОВНОГО СУДА РОССИЙСКОЙ ФЕДЕРАЦИИ</w:t>
      </w:r>
      <w:bookmarkStart w:id="0" w:name="_GoBack"/>
      <w:bookmarkEnd w:id="0"/>
    </w:p>
    <w:p w:rsidR="00BB26A9" w:rsidRPr="00BB26A9" w:rsidRDefault="00BB26A9" w:rsidP="00BB2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 </w:t>
      </w:r>
    </w:p>
    <w:p w:rsidR="00BB26A9" w:rsidRPr="00BB26A9" w:rsidRDefault="00BB26A9" w:rsidP="00BB26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>ПОСТАНОВЛЕНИЕ</w:t>
      </w:r>
    </w:p>
    <w:p w:rsidR="00BB26A9" w:rsidRPr="00BB26A9" w:rsidRDefault="00BB26A9" w:rsidP="00BB26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 xml:space="preserve">от 28 ноября 2017 г. </w:t>
      </w:r>
      <w:proofErr w:type="spellStart"/>
      <w:r w:rsidRPr="00BB26A9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>N</w:t>
      </w:r>
      <w:proofErr w:type="spellEnd"/>
      <w:r w:rsidRPr="00BB26A9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 xml:space="preserve"> 46</w:t>
      </w:r>
    </w:p>
    <w:p w:rsidR="00BB26A9" w:rsidRPr="00BB26A9" w:rsidRDefault="00BB26A9" w:rsidP="00BB26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> </w:t>
      </w:r>
    </w:p>
    <w:p w:rsidR="00BB26A9" w:rsidRPr="00BB26A9" w:rsidRDefault="00BB26A9" w:rsidP="00BB26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>О НЕКОТОРЫХ ВОПРОСАХ,</w:t>
      </w:r>
    </w:p>
    <w:p w:rsidR="00BB26A9" w:rsidRPr="00BB26A9" w:rsidRDefault="00BB26A9" w:rsidP="00BB26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>ВОЗНИКАЮЩИХ ПРИ РАССМОТРЕНИИ СУДЬЯМИ ДЕЛ О ПРИВЛЕЧЕНИИ</w:t>
      </w:r>
    </w:p>
    <w:p w:rsidR="00BB26A9" w:rsidRPr="00BB26A9" w:rsidRDefault="00BB26A9" w:rsidP="00BB26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>К АДМИНИСТРАТИВНОЙ ОТВЕТСТВЕННОСТИ ПО СТАТЬЕ 19.29 КОДЕКСА</w:t>
      </w:r>
    </w:p>
    <w:p w:rsidR="00BB26A9" w:rsidRPr="00BB26A9" w:rsidRDefault="00BB26A9" w:rsidP="00BB26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>РОССИЙСКОЙ ФЕДЕРАЦИИ ОБ АДМИНИСТРАТИВНЫХ ПРАВОНАРУШЕНИЯХ</w:t>
      </w:r>
    </w:p>
    <w:p w:rsidR="00BB26A9" w:rsidRPr="00BB26A9" w:rsidRDefault="00BB26A9" w:rsidP="00BB26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> </w:t>
      </w:r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В целях обеспечения единства практики применения судьями судов общей юрисдикции положений статьи 19.29 Кодекса Российской Федерации об административных правонарушениях Пленум Верховного Суда Российской Федерации, руководствуясь статьей 126 Конституции Российской Федерации, статьями 2 и 5 Федерального конституционного закона от 5 февраля 2014 года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N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3-ФКЗ "О Верховном Суде Российской Федерации", постановляет дать следующие разъяснения:</w:t>
      </w:r>
      <w:proofErr w:type="gramEnd"/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1. </w:t>
      </w: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Статья 19.29 Кодекса Российской Федерации об административных правонарушениях (далее -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РФ) устанавливает административную ответственность работодателя или заказчика работ (услуг) за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с нарушением требований Федерального закона от 25 декабря 2008 года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N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273-ФЗ "О противодействии коррупции" (далее - Федеральный закон "О</w:t>
      </w:r>
      <w:proofErr w:type="gram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</w:t>
      </w: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противодействии</w:t>
      </w:r>
      <w:proofErr w:type="gram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коррупции").</w:t>
      </w:r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Исходя из взаимосвязанных положений частей 4 и 5 статьи 12 Федерального закона "О противодействии коррупции" объективная сторона состава административного правонарушения, предусмотренного статьей 19.29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РФ, выражается в неисполнении работодателем при привлечении к трудовой деятельности на условиях трудового договора или гражданско-правового договора (гражданско-правовых договоров) на выполнение работ (оказание услуг) в течение месяца стоимостью более ста тысяч рублей гражданина, замещавшего должности государственной</w:t>
      </w:r>
      <w:proofErr w:type="gram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(</w:t>
      </w: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муниципальной) службы, перечень которых установлен нормативными правовыми актами Российской Федерации (далее - бывший государственный (муниципальный) служащий), обязанности сообщать в десятидневный срок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Федерации, в течение двух лет после его увольнения с государственной (муниципальной) службы.</w:t>
      </w:r>
      <w:proofErr w:type="gramEnd"/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указанные договоры.</w:t>
      </w:r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Ограничения и обязанности, предусмотренные частями 1 и 2 статьи 12 Федерального закона "О противодействии коррупции", налагаются на бывшего государственного (муниципального) служащего, и их несоблюдение не может являться основанием привлечения работодателя (заказчика работ (услуг) бывшего государственного (муниципального) служащего к административной ответственности по статье 19.29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РФ.</w:t>
      </w:r>
      <w:proofErr w:type="gramEnd"/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2. </w:t>
      </w: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При рассмотрении дел об административных правонарушениях по статье 19.29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 следует учитывать, что предусмотренная частью 4 статьи 12 Федерального закона "О противодействии коррупции"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платы.</w:t>
      </w:r>
      <w:proofErr w:type="gramEnd"/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рублей.</w:t>
      </w:r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3. </w:t>
      </w: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При решении вопроса о привлечении к административной ответственности по статье 19.29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 необходимо принимать во внимание, что под указанными в статье 12 Федерального закона "О противодействии коррупции"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службы (должности</w:t>
      </w:r>
      <w:proofErr w:type="gram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</w:t>
      </w: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lastRenderedPageBreak/>
        <w:t>муниципальной службы), при замещении которых государственные служащие (муниципальные служащие)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Перечни), поскольку принятие последних также обусловлено предусмотренными законодательством мерами по противодействию коррупции.</w:t>
      </w:r>
      <w:proofErr w:type="gramEnd"/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4. </w:t>
      </w: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Неисполнение работодателем обязанности направить представителю нанимателя (работодателю) бывшего государственного (муниципального) служащего сообщение о заключении с ним трудового (гражданско-правового) договора не образует объективную сторону состава административного правонарушения, предусмотренного статьей 19.29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РФ, если в период прохождения бывшим государственным (муниципальным) служащим государственной (муниципальной) службы замещаемая им должность не была включена в Перечни либо была исключена из них к дате заключения трудового (гражданско-правового</w:t>
      </w:r>
      <w:proofErr w:type="gram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) договора.</w:t>
      </w:r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5. Судьям следует учитывать, что ограничения, налагаемые </w:t>
      </w: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на</w:t>
      </w:r>
      <w:proofErr w:type="gram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</w:t>
      </w: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бывшего</w:t>
      </w:r>
      <w:proofErr w:type="gram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государственного (муниципального) служащего, установлены в целях противодействия коррупции при осуществлении данным лицом деятельности или выполнении работ (оказании услуг) в сфере, не связанной с обеспечением исполнения государственных или иных публичных полномочий. В связи с этим обязанность по направлению сообщения о заключении с бывшим государственным (муниципальным) служащим трудового (гражданско-правового) договора представителю нанимателя (работодателю) по последнему месту службы данного лица не распространяется на государственные (муниципальные) органы, в том числе в случае, когда бывший государственный (</w:t>
      </w: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муниципальный) </w:t>
      </w:r>
      <w:proofErr w:type="gram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служащий трудоустраивается в данный орган на должность, не относящуюся к должностям государственной (муниципальной) службы, либо заключает с указанным органом гражданско-правовой договор (договоры).</w:t>
      </w:r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При этом </w:t>
      </w: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исходя из смысла статьи 12 Федерального закона "О противодействии коррупции" обязанность, предусмотренную частью 4 названной статьи, несут</w:t>
      </w:r>
      <w:proofErr w:type="gram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организации независимо от их организационно-правовой формы.</w:t>
      </w:r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6. </w:t>
      </w: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При рассмотрении дел о привлечении к административной ответственности по статье 19.29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 следует учитывать, что предусмотренная частью 4 статьи 12 Федерального закона "О противодействии коррупции" обязанность подлежит исполнению в течение двух лет после увольнения гражданина с государственной или муниципальной службы независимо от последнего места работы бывшего государственного (муниципального) служащего и количества заключенных им за этот период трудовых договоров.</w:t>
      </w:r>
      <w:proofErr w:type="gramEnd"/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Не является нарушением требований части 4 статьи 12 Федерального закона "О противодействии коррупции"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 у того же</w:t>
      </w:r>
      <w:proofErr w:type="gram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работодателя (внутреннее совместительство).</w:t>
      </w:r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При этом заключение с бывшим государственным (муниципальным) служащим трудового договора о выполнении им в свободное от основной работы время другой регулярной оплачиваемой работы у другого работодателя (внешнее совместительство) влечет обязанность последнего сообщить о заключении трудового договора по совместительству представителю нанимателя (работодателю) бывшего государственного (муниципального) служащего по последнему месту его службы.</w:t>
      </w:r>
      <w:proofErr w:type="gramEnd"/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7. </w:t>
      </w: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При уклонении работодателя от оформления с бывшим государственным (муниципальным) служащим трудового договора или его ненадлежащем оформлении виновное лицо может быть привлечено к административной ответственности, предусмотренной частями 4 или 5 статьи 5.27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РФ.</w:t>
      </w:r>
      <w:proofErr w:type="gramEnd"/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Кроме того, указанное обстоятельство при условии доказанности продолжительности фактического допущения работника к работе с ведома или по поручению работодателя или его уполномоченного на это представителя (часть третья статьи 16 Трудового кодекса Российской Федерации) в течение десяти дней и более не исключает возможности привлечения данного лица к административной ответственности также по статье 19.29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РФ, поскольку данный срок предусмотрен для выполнения</w:t>
      </w:r>
      <w:proofErr w:type="gram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работодателем обязанности, предусмотренной частью 4 статьи 12 Федерального закона "О противодействии коррупции".</w:t>
      </w:r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8. </w:t>
      </w: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Если на момент заключения трудового (гражданско-правового) договора с бывшим государственным (муниципальным) служащим государственный (муниципальный) орган, в котором данное лицо проходило государственную (муниципальную) службу, реорганизован или упразднен, соответствующее сообщение подлежит направлению в государственный (муниципальный) орган, который осуществляет функции реорганизованного (упраздненного) органа.</w:t>
      </w:r>
      <w:proofErr w:type="gramEnd"/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В случае, когда функции реорганизованного (упраздненного) государственного (муниципального) органа распределены между несколькими государственными (муниципальными) </w:t>
      </w: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lastRenderedPageBreak/>
        <w:t>органами, допустимо направление соответствующих сведений в любой государственный (муниципальный) орган, который осуществляет функции реорганизованного (упраздненного) органа.</w:t>
      </w:r>
      <w:proofErr w:type="gramEnd"/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9. </w:t>
      </w: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Предусмотренный Федеральным законом "О противодействии коррупции" десятидневный срок для направления сообщения о заключении трудового (гражданско-правового) договора с бывшим государственным (муниципальным) служащим, исчисляемый в календарном порядке, начинает течь со дня, следующего за днем заключения договора с указанным лицом либо его фактического допущения к работе с ведома или по поручению работодателя или его уполномоченного на это представителя.</w:t>
      </w:r>
      <w:proofErr w:type="gram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В случае если последний день срока исполнения указанной обязанности приходится на нерабочий день, то днем окончания срока считается ближайший следующий за ним рабочий день.</w:t>
      </w:r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10. </w:t>
      </w: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При решении вопроса о наличии объективной стороны состава административного правонарушения, предусмотренного статьей 19.29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РФ, следует учитывать, что сообщение о заключении договора с бывшим государственным (муниципальным) служащим представителю нанимателя (работодателю) государственного или муниципального служащего по последнему месту его службы должно быть направлено с соблюдением порядка, устанавливаемого нормативными правовыми актами Российской Федерации, включая требования к форме и содержанию данного сообщения.</w:t>
      </w:r>
      <w:proofErr w:type="gramEnd"/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11. </w:t>
      </w: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Субъектами административных правонарушений, предусмотренных статьей 19.29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РФ, являются граждане, должностные лица и юридические лица - работодатели либо заказчики работ (услуг), которые привлекли к трудовой деятельности на условиях трудового договора либо к выполнению работ или оказанию услуг на условиях гражданско-правового договора бывшего государственного (муниципального) служащего с нарушением требований, предусмотренных Федеральным законом "О противодействии коррупции".</w:t>
      </w:r>
      <w:proofErr w:type="gramEnd"/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Граждане (физические лица) подлежат административной ответственности по статье 19.29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 в случае привлечения ими к трудовой деятельности на договорной основе иных физических лиц, являвшихся бывшими государственными (муниципальными) служащими. </w:t>
      </w: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Например, к таким гражданам могут быть отнесены 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  <w:proofErr w:type="gramEnd"/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Исходя из примечания к статье 2.4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 лицо, осуществляющее предпринимательскую деятельность без образования юридического лица, совершившее административное правонарушение, предусмотренное статьей 19.29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РФ, несет административную ответственность как должностное лицо, в том числе в случае, когда дело о данном административном правонарушении возбуждено после утраты данным лицом статуса индивидуального предпринимателя.</w:t>
      </w:r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К административной ответственности по статье 19.29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 подлежат привлечению должностные лица организации, занимающие должность руководителя или уполномоченные на подписание трудового (гражданско-правового) договора со стороны работодателя, в том числе и в тех случаях, когда обязанность по направлению соответствующего сообщения возложена на иное должностное лицо данной организации.</w:t>
      </w:r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В силу положений части 1 статьи 1.5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 руководитель организации не может являться субъектом административного правонарушения, предусмотренного статьей 19.29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РФ, совершенного до его назначения на указанную должность. Однако это не исключает обязанности данного лица в случае выявления им нарушений требований части 4 статьи 12 Федерального закона "О противодействии коррупции", допущенных до его назначения на указанную должность, принять меры по их устранению. </w:t>
      </w: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При этом направление данным лицом сообщения о заключении трудового (гражданско-правового) договора на выполнение работ (оказание услуг) с бывшим государственным (муниципальным) служащим за пределами предусмотренного частью 4 статьи 12 Федерального закона "О противодействии коррупции" срока не может являться основанием для его привлечения к административной ответственности.</w:t>
      </w:r>
      <w:proofErr w:type="gramEnd"/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Прекращение трудовых отношений с руководителем организации, допустившим в период исполнения им своих служебных обязанностей нарушение требований части 4 статьи 12 Федерального закона "О противодействии коррупции", не исключает возможности возбуждения в отношении этого лица производства по делу об административном правонарушении, предусмотренном статьей 19.29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РФ, и привлечения его к административной ответственности в качестве должностного лица.</w:t>
      </w:r>
      <w:proofErr w:type="gramEnd"/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В случае, когда нарушение указанных требований допущено при трудоустройстве бывшего государственного (муниципального) служащего в организацию в качестве ее руководителя, привлечению к административной ответственности по статье 19.29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 подлежит должностное лицо, подписавшее с бывшим государственным (муниципальным) служащим трудовой договор.</w:t>
      </w:r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lastRenderedPageBreak/>
        <w:t xml:space="preserve">Обратить внимание судей на то, что исходя из толкования части 3 статьи 2.1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 привлечение к административной ответственности по статье 19.29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 должностного лица не освобождает от административной ответственности за данное правонарушение юридическое лицо, равно как и назначение административного </w:t>
      </w: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наказания</w:t>
      </w:r>
      <w:proofErr w:type="gram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юридическому лицу не освобождает от административной ответственности за данное правонарушение виновное должностное лицо.</w:t>
      </w:r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установленной частью 4 статьи 12 Федерального закона "О противодействии коррупции" обязанности.</w:t>
      </w:r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12. </w:t>
      </w: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 учетом того, что обязанность по сообщению сведений о замещаемой гражданином в течение предшествующих трудоустройству двух лет должности государственной (муниципальной) службы, включенной в Перечни, возложена на бывшего государственного (муниципального) служащего, невыполнение данной обязанности указанным лицом при отсутствии у работодателя сведений о ранее замещаемой им должности государственной (муниципальной) службы, включенной в Перечни (например, отсутствие указанных сведений в трудовой книжке, документах воинского</w:t>
      </w:r>
      <w:proofErr w:type="gram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учета, </w:t>
      </w: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военном</w:t>
      </w:r>
      <w:proofErr w:type="gram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билете, заполняемой гражданином при трудоустройстве анкете), свидетельствует об отсутствии оснований для привлечения работодателя к административной ответственности по статье 19.29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 (части 2, 4 и 5 статьи 12 Федерального закона "О противодействии коррупции").</w:t>
      </w:r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13. </w:t>
      </w: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Учитывая, что назначение виновному лицу административного наказания должно быть строго индивидуализировано, при наличии совокупности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в производстве которого находится дело о таком административном правонарушении, вправе назначить юридическому лицу административный штраф в размере менее минимального размера административного штрафа, предусмотренного санкцией</w:t>
      </w:r>
      <w:proofErr w:type="gram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статьи 19.29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 (часть 3 и 3.2 статьи 4.1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РФ).</w:t>
      </w:r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Например, при решении вопроса о возможности назначения юридическому лицу наказания ниже низшего предела, установленного санкцией названной статьи, может быть учтен факт содействия юридического лица в раскрытии данного административного правонарушения, а также отсутствие в числе должностных (служебных) обязанностей бывшего государственного (муниципального) служащего отдельных функций государственного, муниципального (административного) управления данной организацией.</w:t>
      </w:r>
      <w:proofErr w:type="gramEnd"/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Следует иметь в виду, что, поскольку санкция статьи 19.29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 не отвечает критериям, установленным частью 2.2 статьи 4.1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 для применения наказания ниже низшего предела в отношении граждан и должностных лиц, данный институт не подлежит применению при привлечении названных субъектов к административной ответственности по статье 19.29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РФ.</w:t>
      </w:r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14. </w:t>
      </w: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В случае, когда административное правонарушение, предусмотренное статьей 19.29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РФ, не является существенным нарушением охраняемых общественных отношений в сфере противодействия коррупции (например, выразилось в нарушении требований к форме и содержанию сообщения, направляемого по последнему месту службы государственного (муниципального) служащего, которое не привело к неполучению необходимой для целей Федерального закона "О противодействии коррупции" информации), данное административное правонарушение может быть признано малозначительным</w:t>
      </w:r>
      <w:proofErr w:type="gram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.</w:t>
      </w:r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15. Объективная сторона состава административного правонарушения, предусмотренного статьей 19.29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РФ, выражается в нарушении законодательства Российской Федерации о противодействии коррупции, в связи с этим срок давности привлечения к административной ответственности за его совершение составляет шесть лет (часть 1 статьи 4.5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РФ).</w:t>
      </w:r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Указанный срок начинает исчисляться со дня, следующего за днем совершения административного правонарушения, поскольку административное правонарушение, предусмотренное статьей 19.29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РФ, не является длящимся, в том числе в случае, когда его объективная сторона выразилась в несообщении в установленный законом срок представителю нанимателя (работодателю) бывшего государственного (муниципального) служащего по последнему месту его службы о заключении с последним трудового (гражданско-правового) договора.</w:t>
      </w:r>
      <w:proofErr w:type="gramEnd"/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16. В силу части 4 статьи 4.1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 назначение виновному лицу административного наказания за совершение административного правонарушения, предусмотренного статьей 19.29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РФ, не освобождает данное лицо от исполнения требований, предусмотренных Федеральным законом "О противодействии коррупции".</w:t>
      </w:r>
    </w:p>
    <w:p w:rsidR="00BB26A9" w:rsidRPr="00BB26A9" w:rsidRDefault="00BB26A9" w:rsidP="00BB2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При рассмотрении дела об административном правонарушении, предусмотренном статьей 19.29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РФ, судьям следует принимать во внимание положения статьи 29.13 </w:t>
      </w: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КоАП</w:t>
      </w:r>
      <w:proofErr w:type="spellEnd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РФ о внесении в соответствующие организации и соответствующим должностным лицам, не </w:t>
      </w: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lastRenderedPageBreak/>
        <w:t>исполнившим предусмотренную статьей 12 Федерального закона "О противодействии коррупции" обязанность, представления о принятии мер по устранению причин и условий, способствующих совершению административного правонарушения.</w:t>
      </w:r>
    </w:p>
    <w:p w:rsidR="00BB26A9" w:rsidRPr="00BB26A9" w:rsidRDefault="00BB26A9" w:rsidP="00BB2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</w:t>
      </w:r>
    </w:p>
    <w:p w:rsidR="00BB26A9" w:rsidRPr="00BB26A9" w:rsidRDefault="00BB26A9" w:rsidP="00BB2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Председатель</w:t>
      </w:r>
    </w:p>
    <w:p w:rsidR="00BB26A9" w:rsidRPr="00BB26A9" w:rsidRDefault="00BB26A9" w:rsidP="00BB2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Верховного Суда</w:t>
      </w:r>
    </w:p>
    <w:p w:rsidR="00BB26A9" w:rsidRPr="00BB26A9" w:rsidRDefault="00BB26A9" w:rsidP="00BB2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Российской Федерации</w:t>
      </w:r>
    </w:p>
    <w:p w:rsidR="00BB26A9" w:rsidRPr="00BB26A9" w:rsidRDefault="00BB26A9" w:rsidP="00BB2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В.М.ЛЕБЕДЕВ</w:t>
      </w:r>
    </w:p>
    <w:p w:rsidR="00BB26A9" w:rsidRPr="00BB26A9" w:rsidRDefault="00BB26A9" w:rsidP="00BB2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</w:t>
      </w:r>
    </w:p>
    <w:p w:rsidR="00BB26A9" w:rsidRPr="00BB26A9" w:rsidRDefault="00BB26A9" w:rsidP="00BB2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Секретарь Пленума,</w:t>
      </w:r>
    </w:p>
    <w:p w:rsidR="00BB26A9" w:rsidRPr="00BB26A9" w:rsidRDefault="00BB26A9" w:rsidP="00BB2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судья Верховного Суда</w:t>
      </w:r>
    </w:p>
    <w:p w:rsidR="00BB26A9" w:rsidRPr="00BB26A9" w:rsidRDefault="00BB26A9" w:rsidP="00BB2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Российской Федерации</w:t>
      </w:r>
    </w:p>
    <w:p w:rsidR="00BB26A9" w:rsidRPr="00BB26A9" w:rsidRDefault="00BB26A9" w:rsidP="00BB2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spellStart"/>
      <w:r w:rsidRPr="00BB26A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В.В.МОМОТОВ</w:t>
      </w:r>
      <w:proofErr w:type="spellEnd"/>
    </w:p>
    <w:p w:rsidR="00D111FE" w:rsidRDefault="00D111FE"/>
    <w:sectPr w:rsidR="00D111FE" w:rsidSect="00D11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6A9"/>
    <w:rsid w:val="00BB26A9"/>
    <w:rsid w:val="00D11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589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2893</Words>
  <Characters>16493</Characters>
  <Application>Microsoft Office Word</Application>
  <DocSecurity>0</DocSecurity>
  <Lines>137</Lines>
  <Paragraphs>38</Paragraphs>
  <ScaleCrop>false</ScaleCrop>
  <Company/>
  <LinksUpToDate>false</LinksUpToDate>
  <CharactersWithSpaces>19348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Собачкина</dc:creator>
  <cp:keywords/>
  <dc:description/>
  <cp:lastModifiedBy>Елена Собачкина</cp:lastModifiedBy>
  <cp:revision>3</cp:revision>
  <dcterms:created xsi:type="dcterms:W3CDTF">2022-08-02T06:11:00Z</dcterms:created>
  <dcterms:modified xsi:type="dcterms:W3CDTF">2022-08-02T06:11:00Z</dcterms:modified>
</cp:coreProperties>
</file>