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49" w:rsidRPr="00D01849" w:rsidRDefault="00D01849" w:rsidP="00D01849">
      <w:pPr>
        <w:tabs>
          <w:tab w:val="left" w:pos="426"/>
        </w:tabs>
        <w:autoSpaceDE w:val="0"/>
        <w:autoSpaceDN w:val="0"/>
        <w:adjustRightInd w:val="0"/>
        <w:spacing w:after="0" w:line="240" w:lineRule="auto"/>
        <w:jc w:val="center"/>
        <w:outlineLvl w:val="1"/>
        <w:rPr>
          <w:rFonts w:ascii="Times New Roman" w:eastAsia="Times New Roman" w:hAnsi="Times New Roman" w:cs="Times New Roman"/>
          <w:b/>
          <w:i/>
          <w:color w:val="FF0000"/>
          <w:sz w:val="32"/>
          <w:szCs w:val="32"/>
          <w:lang w:eastAsia="ru-RU"/>
        </w:rPr>
      </w:pPr>
      <w:r w:rsidRPr="00D01849">
        <w:rPr>
          <w:rFonts w:ascii="Times New Roman" w:eastAsia="Times New Roman" w:hAnsi="Times New Roman" w:cs="Times New Roman"/>
          <w:b/>
          <w:i/>
          <w:color w:val="FF0000"/>
          <w:sz w:val="32"/>
          <w:szCs w:val="32"/>
          <w:lang w:eastAsia="ru-RU"/>
        </w:rPr>
        <w:t>ПАМЯТКА</w:t>
      </w:r>
    </w:p>
    <w:p w:rsidR="00D01849" w:rsidRDefault="00D01849" w:rsidP="00D01849">
      <w:pPr>
        <w:tabs>
          <w:tab w:val="left" w:pos="426"/>
        </w:tabs>
        <w:autoSpaceDE w:val="0"/>
        <w:autoSpaceDN w:val="0"/>
        <w:adjustRightInd w:val="0"/>
        <w:spacing w:after="0" w:line="240" w:lineRule="auto"/>
        <w:jc w:val="center"/>
        <w:outlineLvl w:val="1"/>
        <w:rPr>
          <w:rFonts w:ascii="Times New Roman" w:eastAsia="Times New Roman" w:hAnsi="Times New Roman" w:cs="Times New Roman"/>
          <w:b/>
          <w:i/>
          <w:color w:val="FF0000"/>
          <w:sz w:val="32"/>
          <w:szCs w:val="32"/>
          <w:lang w:eastAsia="ru-RU"/>
        </w:rPr>
      </w:pPr>
      <w:r>
        <w:rPr>
          <w:rFonts w:ascii="Times New Roman" w:eastAsia="Times New Roman" w:hAnsi="Times New Roman" w:cs="Times New Roman"/>
          <w:b/>
          <w:i/>
          <w:color w:val="FF0000"/>
          <w:sz w:val="32"/>
          <w:szCs w:val="32"/>
          <w:lang w:eastAsia="ru-RU"/>
        </w:rPr>
        <w:t>КРЕДИТНЫЕ КАНИКУЛЫ</w:t>
      </w:r>
    </w:p>
    <w:p w:rsidR="00D01849" w:rsidRPr="00D01849" w:rsidRDefault="00D01849" w:rsidP="00D01849">
      <w:pPr>
        <w:tabs>
          <w:tab w:val="left" w:pos="426"/>
        </w:tabs>
        <w:autoSpaceDE w:val="0"/>
        <w:autoSpaceDN w:val="0"/>
        <w:adjustRightInd w:val="0"/>
        <w:spacing w:after="0" w:line="240" w:lineRule="auto"/>
        <w:jc w:val="center"/>
        <w:outlineLvl w:val="1"/>
        <w:rPr>
          <w:rFonts w:ascii="Times New Roman" w:eastAsia="Times New Roman" w:hAnsi="Times New Roman" w:cs="Times New Roman"/>
          <w:b/>
          <w:i/>
          <w:color w:val="FF0000"/>
          <w:sz w:val="32"/>
          <w:szCs w:val="32"/>
          <w:lang w:eastAsia="ru-RU"/>
        </w:rPr>
      </w:pP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b/>
          <w:i/>
          <w:sz w:val="26"/>
          <w:szCs w:val="26"/>
          <w:lang w:eastAsia="ru-RU"/>
        </w:rPr>
        <w:t>Кредитные каникулы</w:t>
      </w:r>
      <w:r w:rsidRPr="00D01849">
        <w:rPr>
          <w:rFonts w:ascii="Times New Roman" w:eastAsia="Times New Roman" w:hAnsi="Times New Roman" w:cs="Times New Roman"/>
          <w:sz w:val="26"/>
          <w:szCs w:val="26"/>
          <w:lang w:eastAsia="ru-RU"/>
        </w:rPr>
        <w:t xml:space="preserve"> – это льготный период кредитования, когда можно не платить (или уменьшить) ежемесячные платежи без штрафных санкций и последствий для кредитной истории. </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xml:space="preserve">С 1 января 2024 года кредитные каникулы действуют на постоянной основе. </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xml:space="preserve"> </w:t>
      </w:r>
      <w:r w:rsidRPr="00D01849">
        <w:rPr>
          <w:rFonts w:ascii="Times New Roman" w:eastAsia="Times New Roman" w:hAnsi="Times New Roman" w:cs="Times New Roman"/>
          <w:sz w:val="26"/>
          <w:szCs w:val="26"/>
          <w:lang w:eastAsia="ru-RU"/>
        </w:rPr>
        <w:t>Продолжительность «каникул» - льготного периода, в течение которого исполнение обязательств заемщика по договору приостанавливается, не может превышать 6 месяцев.</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xml:space="preserve">Надо помнить, что </w:t>
      </w:r>
      <w:r w:rsidRPr="00D01849">
        <w:rPr>
          <w:rFonts w:ascii="Times New Roman" w:eastAsia="Times New Roman" w:hAnsi="Times New Roman" w:cs="Times New Roman"/>
          <w:sz w:val="26"/>
          <w:szCs w:val="26"/>
          <w:lang w:eastAsia="ru-RU"/>
        </w:rPr>
        <w:t>кредитные каникулы — это</w:t>
      </w:r>
      <w:r w:rsidRPr="00D01849">
        <w:rPr>
          <w:rFonts w:ascii="Times New Roman" w:eastAsia="Times New Roman" w:hAnsi="Times New Roman" w:cs="Times New Roman"/>
          <w:sz w:val="26"/>
          <w:szCs w:val="26"/>
          <w:lang w:eastAsia="ru-RU"/>
        </w:rPr>
        <w:t xml:space="preserve"> не «аналог» ипотечных каникул. Ипотечные каникулы введены в 2019 году поправками к федеральному закону № 353-ФЗ, для которых действуют другие основания и условия.</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xml:space="preserve">Кредитные каникулы распространяются на кредитный договор/договор займа, заключенный с кредитной организацией (банком), </w:t>
      </w:r>
      <w:proofErr w:type="spellStart"/>
      <w:r w:rsidRPr="00D01849">
        <w:rPr>
          <w:rFonts w:ascii="Times New Roman" w:eastAsia="Times New Roman" w:hAnsi="Times New Roman" w:cs="Times New Roman"/>
          <w:sz w:val="26"/>
          <w:szCs w:val="26"/>
          <w:lang w:eastAsia="ru-RU"/>
        </w:rPr>
        <w:t>микрофинансовой</w:t>
      </w:r>
      <w:proofErr w:type="spellEnd"/>
      <w:r w:rsidRPr="00D01849">
        <w:rPr>
          <w:rFonts w:ascii="Times New Roman" w:eastAsia="Times New Roman" w:hAnsi="Times New Roman" w:cs="Times New Roman"/>
          <w:sz w:val="26"/>
          <w:szCs w:val="26"/>
          <w:lang w:eastAsia="ru-RU"/>
        </w:rPr>
        <w:t xml:space="preserve"> организацией, кредитным потребительским кооперативом, сельскохозяйственным кредитным потребительским кооперативом, ломбардом.</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b/>
          <w:i/>
          <w:sz w:val="26"/>
          <w:szCs w:val="26"/>
          <w:lang w:eastAsia="ru-RU"/>
        </w:rPr>
        <w:t>Кредитные каникулы действуют в отношении потребительских кредитов, автокредитов, кредитных карт.</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xml:space="preserve">Право на оформление кредитных каникул предоставляется тем, кто находится в трудной жизненной ситуации (ТЖС). </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b/>
          <w:i/>
          <w:sz w:val="26"/>
          <w:szCs w:val="26"/>
          <w:lang w:eastAsia="ru-RU"/>
        </w:rPr>
        <w:t>К числу ТЖС отнесены:</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снижение среднемесячного дохода за 2 предыдущих месяца более, чем на 30% по сравнению со среднемесячным доходом за 12 месяцев, предшествующих месяцу обращения за КК;</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(важно обратиться к кредитору в течение 60 дней со дня установления соответствующих фактов).</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b/>
          <w:i/>
          <w:sz w:val="26"/>
          <w:szCs w:val="26"/>
          <w:lang w:eastAsia="ru-RU"/>
        </w:rPr>
      </w:pPr>
      <w:r w:rsidRPr="00D01849">
        <w:rPr>
          <w:rFonts w:ascii="Times New Roman" w:eastAsia="Times New Roman" w:hAnsi="Times New Roman" w:cs="Times New Roman"/>
          <w:b/>
          <w:i/>
          <w:sz w:val="26"/>
          <w:szCs w:val="26"/>
          <w:lang w:eastAsia="ru-RU"/>
        </w:rPr>
        <w:t xml:space="preserve">Для того, чтобы оформить </w:t>
      </w:r>
      <w:r w:rsidRPr="00D01849">
        <w:rPr>
          <w:rFonts w:ascii="Times New Roman" w:eastAsia="Times New Roman" w:hAnsi="Times New Roman" w:cs="Times New Roman"/>
          <w:b/>
          <w:i/>
          <w:sz w:val="26"/>
          <w:szCs w:val="26"/>
          <w:lang w:eastAsia="ru-RU"/>
        </w:rPr>
        <w:t>кредитные каникулы</w:t>
      </w:r>
      <w:r w:rsidRPr="00D01849">
        <w:rPr>
          <w:rFonts w:ascii="Times New Roman" w:eastAsia="Times New Roman" w:hAnsi="Times New Roman" w:cs="Times New Roman"/>
          <w:b/>
          <w:i/>
          <w:sz w:val="26"/>
          <w:szCs w:val="26"/>
          <w:lang w:eastAsia="ru-RU"/>
        </w:rPr>
        <w:t>, размер кредита не должен превышать установленные лимиты:</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по автокредитам – 1,6 млн. руб.;</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по другим потребительским кредитам и займам – 450 тыс. руб.;</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b/>
          <w:i/>
          <w:sz w:val="26"/>
          <w:szCs w:val="26"/>
          <w:lang w:eastAsia="ru-RU"/>
        </w:rPr>
      </w:pPr>
      <w:r w:rsidRPr="00D01849">
        <w:rPr>
          <w:rFonts w:ascii="Times New Roman" w:eastAsia="Times New Roman" w:hAnsi="Times New Roman" w:cs="Times New Roman"/>
          <w:sz w:val="26"/>
          <w:szCs w:val="26"/>
          <w:lang w:eastAsia="ru-RU"/>
        </w:rPr>
        <w:t>- по кредитным</w:t>
      </w:r>
      <w:r w:rsidRPr="00D01849">
        <w:rPr>
          <w:rFonts w:ascii="Times New Roman" w:eastAsia="Times New Roman" w:hAnsi="Times New Roman" w:cs="Times New Roman"/>
          <w:b/>
          <w:i/>
          <w:sz w:val="26"/>
          <w:szCs w:val="26"/>
          <w:lang w:eastAsia="ru-RU"/>
        </w:rPr>
        <w:t xml:space="preserve"> </w:t>
      </w:r>
      <w:r w:rsidRPr="00D01849">
        <w:rPr>
          <w:rFonts w:ascii="Times New Roman" w:eastAsia="Times New Roman" w:hAnsi="Times New Roman" w:cs="Times New Roman"/>
          <w:sz w:val="26"/>
          <w:szCs w:val="26"/>
          <w:lang w:eastAsia="ru-RU"/>
        </w:rPr>
        <w:t>картам – 150 тыс. руб.</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b/>
          <w:i/>
          <w:sz w:val="26"/>
          <w:szCs w:val="26"/>
          <w:lang w:eastAsia="ru-RU"/>
        </w:rPr>
      </w:pPr>
      <w:r w:rsidRPr="00D01849">
        <w:rPr>
          <w:rFonts w:ascii="Times New Roman" w:eastAsia="Times New Roman" w:hAnsi="Times New Roman" w:cs="Times New Roman"/>
          <w:noProof/>
          <w:sz w:val="26"/>
          <w:szCs w:val="26"/>
          <w:lang w:eastAsia="ru-RU"/>
        </w:rPr>
        <w:t xml:space="preserve"> </w:t>
      </w:r>
      <w:r w:rsidRPr="00D01849">
        <w:rPr>
          <w:rFonts w:ascii="Times New Roman" w:eastAsia="Times New Roman" w:hAnsi="Times New Roman" w:cs="Times New Roman"/>
          <w:b/>
          <w:i/>
          <w:sz w:val="26"/>
          <w:szCs w:val="26"/>
          <w:lang w:eastAsia="ru-RU"/>
        </w:rPr>
        <w:t>Кому не положены кредитные каникулы:</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заемщику, признанному банкротом;</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человеку, уже использовавшему льготы по антикризисному «</w:t>
      </w:r>
      <w:proofErr w:type="spellStart"/>
      <w:r w:rsidRPr="00D01849">
        <w:rPr>
          <w:rFonts w:ascii="Times New Roman" w:eastAsia="Times New Roman" w:hAnsi="Times New Roman" w:cs="Times New Roman"/>
          <w:sz w:val="26"/>
          <w:szCs w:val="26"/>
          <w:lang w:eastAsia="ru-RU"/>
        </w:rPr>
        <w:t>ковидному</w:t>
      </w:r>
      <w:proofErr w:type="spellEnd"/>
      <w:r w:rsidRPr="00D01849">
        <w:rPr>
          <w:rFonts w:ascii="Times New Roman" w:eastAsia="Times New Roman" w:hAnsi="Times New Roman" w:cs="Times New Roman"/>
          <w:sz w:val="26"/>
          <w:szCs w:val="26"/>
          <w:lang w:eastAsia="ru-RU"/>
        </w:rPr>
        <w:t>» закону в 2020 и 2022–2023 годах (исключение — участники СВО);</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если предъявлены исполнительный лист по взысканию залога или требование к поручителю.</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В течение льготного периода не допускается начисление неустойки и обращение взыскания на предмет залога или к поручителю заемщика. При этом в течение льготного периода на текущую задолженность заемщика будут начисляться проценты по процентной ставке, предусмотренной договором. Они должны быть выплачены уже после погашения кредита ежемесячными платежами, равными тем платежам, которые заемщик вносил по графику.</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lastRenderedPageBreak/>
        <w:t>В любой момент кредитных каникул можно погашать сумму кредита (или часть) без прекращения льготного периода. Эти суммы будут учитываться в счет погашения основного долга.</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 xml:space="preserve">Для оформления кредитных каникул необходимо подать заявление в банк или </w:t>
      </w:r>
      <w:proofErr w:type="spellStart"/>
      <w:r w:rsidRPr="00D01849">
        <w:rPr>
          <w:rFonts w:ascii="Times New Roman" w:eastAsia="Times New Roman" w:hAnsi="Times New Roman" w:cs="Times New Roman"/>
          <w:sz w:val="26"/>
          <w:szCs w:val="26"/>
          <w:lang w:eastAsia="ru-RU"/>
        </w:rPr>
        <w:t>микрофинансовую</w:t>
      </w:r>
      <w:proofErr w:type="spellEnd"/>
      <w:r w:rsidRPr="00D01849">
        <w:rPr>
          <w:rFonts w:ascii="Times New Roman" w:eastAsia="Times New Roman" w:hAnsi="Times New Roman" w:cs="Times New Roman"/>
          <w:sz w:val="26"/>
          <w:szCs w:val="26"/>
          <w:lang w:eastAsia="ru-RU"/>
        </w:rPr>
        <w:t xml:space="preserve"> организацию, которая предоставила кредит. Его рассмотрят в течение пяти дней. В случае отказа банк обязан сообщить о его причинах. Если вы считаете отказ неправомерным, можно обратиться в Банк России с жалобой или оспорить решение в суде.</w:t>
      </w:r>
    </w:p>
    <w:p w:rsidR="00D01849" w:rsidRPr="00D0184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Банк может запросить документы, подтверждающие снижение дохода.</w:t>
      </w:r>
    </w:p>
    <w:p w:rsidR="00D01849" w:rsidRPr="00176499" w:rsidRDefault="00D01849" w:rsidP="00D0184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D01849">
        <w:rPr>
          <w:rFonts w:ascii="Times New Roman" w:eastAsia="Times New Roman" w:hAnsi="Times New Roman" w:cs="Times New Roman"/>
          <w:sz w:val="26"/>
          <w:szCs w:val="26"/>
          <w:lang w:eastAsia="ru-RU"/>
        </w:rPr>
        <w:t>Если нужно подтвердить, что заемщик проживает в районе ЧС, то необходимо предоставить документы об установлении фактов его проживания в жилом помещении, находящемся в зоне ЧС, нарушения условий проживания и утраты имущества.</w:t>
      </w:r>
    </w:p>
    <w:p w:rsidR="00D01849" w:rsidRDefault="00D01849" w:rsidP="00D01849">
      <w:pPr>
        <w:tabs>
          <w:tab w:val="left" w:pos="426"/>
        </w:tabs>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p>
    <w:p w:rsidR="00D01849" w:rsidRDefault="00D01849" w:rsidP="00D01849">
      <w:pPr>
        <w:tabs>
          <w:tab w:val="left" w:pos="426"/>
        </w:tabs>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p>
    <w:p w:rsidR="00D01849" w:rsidRPr="00D01849" w:rsidRDefault="00D01849" w:rsidP="00D018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b/>
          <w:sz w:val="21"/>
          <w:szCs w:val="21"/>
          <w:lang w:eastAsia="ru-RU"/>
        </w:rPr>
      </w:pPr>
      <w:r w:rsidRPr="00D01849">
        <w:rPr>
          <w:rFonts w:ascii="Times New Roman" w:eastAsia="Times New Roman" w:hAnsi="Times New Roman" w:cs="Times New Roman"/>
          <w:b/>
          <w:sz w:val="21"/>
          <w:szCs w:val="21"/>
          <w:lang w:eastAsia="ru-RU"/>
        </w:rPr>
        <w:t>По вопросам получения консультаций в области</w:t>
      </w:r>
      <w:r w:rsidRPr="00D01849">
        <w:rPr>
          <w:rFonts w:ascii="Times New Roman" w:eastAsia="Times New Roman" w:hAnsi="Times New Roman" w:cs="Times New Roman"/>
          <w:sz w:val="21"/>
          <w:szCs w:val="21"/>
          <w:lang w:eastAsia="ru-RU"/>
        </w:rPr>
        <w:t xml:space="preserve"> </w:t>
      </w:r>
      <w:r w:rsidRPr="00D01849">
        <w:rPr>
          <w:rFonts w:ascii="Times New Roman" w:eastAsia="Times New Roman" w:hAnsi="Times New Roman" w:cs="Times New Roman"/>
          <w:b/>
          <w:sz w:val="21"/>
          <w:szCs w:val="21"/>
          <w:lang w:eastAsia="ru-RU"/>
        </w:rPr>
        <w:t xml:space="preserve">защиты прав потребителей, помощи в составлении ПРЕТЕНЗИЙ и ИСКОВЫХ </w:t>
      </w:r>
      <w:proofErr w:type="gramStart"/>
      <w:r w:rsidRPr="00D01849">
        <w:rPr>
          <w:rFonts w:ascii="Times New Roman" w:eastAsia="Times New Roman" w:hAnsi="Times New Roman" w:cs="Times New Roman"/>
          <w:b/>
          <w:sz w:val="21"/>
          <w:szCs w:val="21"/>
          <w:lang w:eastAsia="ru-RU"/>
        </w:rPr>
        <w:t>ЗАЯВЛЕНИЙ  обращайтесь</w:t>
      </w:r>
      <w:proofErr w:type="gramEnd"/>
      <w:r w:rsidRPr="00D01849">
        <w:rPr>
          <w:rFonts w:ascii="Times New Roman" w:eastAsia="Times New Roman" w:hAnsi="Times New Roman" w:cs="Times New Roman"/>
          <w:b/>
          <w:sz w:val="21"/>
          <w:szCs w:val="21"/>
          <w:lang w:eastAsia="ru-RU"/>
        </w:rPr>
        <w:t xml:space="preserve"> в </w:t>
      </w:r>
    </w:p>
    <w:p w:rsidR="00D01849" w:rsidRPr="00D01849" w:rsidRDefault="00D01849" w:rsidP="00D018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sz w:val="21"/>
          <w:szCs w:val="21"/>
          <w:lang w:eastAsia="ru-RU"/>
        </w:rPr>
      </w:pPr>
      <w:r w:rsidRPr="00D01849">
        <w:rPr>
          <w:rFonts w:ascii="Times New Roman" w:eastAsia="Times New Roman" w:hAnsi="Times New Roman" w:cs="Times New Roman"/>
          <w:b/>
          <w:sz w:val="21"/>
          <w:szCs w:val="21"/>
          <w:lang w:eastAsia="ru-RU"/>
        </w:rPr>
        <w:t>КОНСУЛЬТАЦИОННЫЙ ЦЕНТР ДЛЯ ПОТРЕБИТЕЛЕЙ</w:t>
      </w:r>
    </w:p>
    <w:p w:rsidR="00D01849" w:rsidRPr="00D01849" w:rsidRDefault="00D01849" w:rsidP="00D018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b/>
          <w:sz w:val="21"/>
          <w:szCs w:val="21"/>
          <w:lang w:eastAsia="ru-RU"/>
        </w:rPr>
      </w:pPr>
      <w:r w:rsidRPr="00D01849">
        <w:rPr>
          <w:rFonts w:ascii="Times New Roman" w:eastAsia="Times New Roman" w:hAnsi="Times New Roman" w:cs="Times New Roman"/>
          <w:b/>
          <w:sz w:val="20"/>
          <w:szCs w:val="21"/>
          <w:lang w:eastAsia="ru-RU"/>
        </w:rPr>
        <w:t xml:space="preserve">г. Саранск, ул. Дальняя, д. 1А, (2 корпус), </w:t>
      </w:r>
      <w:proofErr w:type="spellStart"/>
      <w:r w:rsidRPr="00D01849">
        <w:rPr>
          <w:rFonts w:ascii="Times New Roman" w:eastAsia="Times New Roman" w:hAnsi="Times New Roman" w:cs="Times New Roman"/>
          <w:b/>
          <w:sz w:val="20"/>
          <w:szCs w:val="21"/>
          <w:lang w:eastAsia="ru-RU"/>
        </w:rPr>
        <w:t>каб</w:t>
      </w:r>
      <w:proofErr w:type="spellEnd"/>
      <w:r w:rsidRPr="00D01849">
        <w:rPr>
          <w:rFonts w:ascii="Times New Roman" w:eastAsia="Times New Roman" w:hAnsi="Times New Roman" w:cs="Times New Roman"/>
          <w:b/>
          <w:sz w:val="20"/>
          <w:szCs w:val="21"/>
          <w:lang w:eastAsia="ru-RU"/>
        </w:rPr>
        <w:t>. 241</w:t>
      </w:r>
    </w:p>
    <w:p w:rsidR="00D01849" w:rsidRPr="00D01849" w:rsidRDefault="00D01849" w:rsidP="00D018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sz w:val="21"/>
          <w:szCs w:val="21"/>
          <w:lang w:val="en-US" w:eastAsia="ru-RU"/>
        </w:rPr>
      </w:pPr>
      <w:r w:rsidRPr="00D01849">
        <w:rPr>
          <w:rFonts w:ascii="Times New Roman" w:eastAsia="Times New Roman" w:hAnsi="Times New Roman" w:cs="Times New Roman"/>
          <w:b/>
          <w:sz w:val="21"/>
          <w:szCs w:val="21"/>
          <w:lang w:eastAsia="ru-RU"/>
        </w:rPr>
        <w:t>тел</w:t>
      </w:r>
      <w:r w:rsidRPr="00D01849">
        <w:rPr>
          <w:rFonts w:ascii="Times New Roman" w:eastAsia="Times New Roman" w:hAnsi="Times New Roman" w:cs="Times New Roman"/>
          <w:b/>
          <w:sz w:val="21"/>
          <w:szCs w:val="21"/>
          <w:lang w:val="en-US" w:eastAsia="ru-RU"/>
        </w:rPr>
        <w:t>. 8(8342) 24-62-68</w:t>
      </w:r>
    </w:p>
    <w:p w:rsidR="00D01849" w:rsidRPr="00D01849" w:rsidRDefault="00D01849" w:rsidP="00D01849">
      <w:pPr>
        <w:autoSpaceDE w:val="0"/>
        <w:autoSpaceDN w:val="0"/>
        <w:adjustRightInd w:val="0"/>
        <w:spacing w:after="0" w:line="240" w:lineRule="auto"/>
        <w:ind w:left="-170" w:right="-170" w:firstLine="284"/>
        <w:contextualSpacing/>
        <w:jc w:val="center"/>
        <w:outlineLvl w:val="1"/>
        <w:rPr>
          <w:rFonts w:ascii="Times New Roman" w:eastAsia="Times New Roman" w:hAnsi="Times New Roman" w:cs="Times New Roman"/>
          <w:b/>
          <w:color w:val="0000FF"/>
          <w:sz w:val="21"/>
          <w:szCs w:val="21"/>
          <w:u w:val="single"/>
          <w:lang w:val="en-US" w:eastAsia="ru-RU"/>
        </w:rPr>
      </w:pPr>
      <w:r w:rsidRPr="00D01849">
        <w:rPr>
          <w:rFonts w:ascii="Times New Roman" w:eastAsia="Times New Roman" w:hAnsi="Times New Roman" w:cs="Times New Roman"/>
          <w:b/>
          <w:sz w:val="21"/>
          <w:szCs w:val="21"/>
          <w:lang w:val="en-US" w:eastAsia="ru-RU"/>
        </w:rPr>
        <w:t xml:space="preserve">e-mail: </w:t>
      </w:r>
      <w:hyperlink r:id="rId4" w:history="1">
        <w:r w:rsidRPr="00D01849">
          <w:rPr>
            <w:rFonts w:ascii="Times New Roman" w:eastAsia="Times New Roman" w:hAnsi="Times New Roman" w:cs="Times New Roman"/>
            <w:b/>
            <w:color w:val="0000FF"/>
            <w:sz w:val="21"/>
            <w:szCs w:val="21"/>
            <w:u w:val="single"/>
            <w:lang w:val="en-US" w:eastAsia="ru-RU"/>
          </w:rPr>
          <w:t>kczpp@list.ru</w:t>
        </w:r>
      </w:hyperlink>
    </w:p>
    <w:p w:rsidR="00D01849" w:rsidRPr="00D01849" w:rsidRDefault="00D01849" w:rsidP="00D01849">
      <w:pPr>
        <w:autoSpaceDE w:val="0"/>
        <w:autoSpaceDN w:val="0"/>
        <w:adjustRightInd w:val="0"/>
        <w:spacing w:after="0" w:line="240" w:lineRule="auto"/>
        <w:ind w:left="-170" w:right="-170" w:firstLine="284"/>
        <w:contextualSpacing/>
        <w:jc w:val="center"/>
        <w:outlineLvl w:val="1"/>
        <w:rPr>
          <w:rFonts w:ascii="Times New Roman" w:eastAsia="Times New Roman" w:hAnsi="Times New Roman" w:cs="Times New Roman"/>
          <w:b/>
          <w:noProof/>
          <w:sz w:val="21"/>
          <w:szCs w:val="21"/>
          <w:lang w:val="en-US" w:eastAsia="ru-RU"/>
        </w:rPr>
      </w:pPr>
      <w:r w:rsidRPr="00D01849">
        <w:rPr>
          <w:rFonts w:ascii="Times New Roman" w:eastAsia="Calibri" w:hAnsi="Times New Roman" w:cs="Times New Roman"/>
          <w:b/>
          <w:sz w:val="21"/>
          <w:szCs w:val="21"/>
          <w:lang w:val="en-US"/>
        </w:rPr>
        <w:t>http://13.rospotrebnadzor.ru/center/konsultatc_centr_dlia_potrebit</w:t>
      </w:r>
    </w:p>
    <w:p w:rsidR="00D01849" w:rsidRPr="00D01849" w:rsidRDefault="00D01849" w:rsidP="00D01849">
      <w:pPr>
        <w:rPr>
          <w:rFonts w:ascii="Calibri" w:eastAsia="Calibri" w:hAnsi="Calibri" w:cs="Times New Roman"/>
          <w:lang w:val="en-US"/>
        </w:rPr>
      </w:pPr>
      <w:r w:rsidRPr="00D01849">
        <w:rPr>
          <w:rFonts w:ascii="Calibri" w:eastAsia="Calibri" w:hAnsi="Calibri" w:cs="Times New Roman"/>
          <w:noProof/>
          <w:lang w:eastAsia="ru-RU"/>
        </w:rPr>
        <w:drawing>
          <wp:anchor distT="0" distB="0" distL="114300" distR="114300" simplePos="0" relativeHeight="251659264" behindDoc="1" locked="0" layoutInCell="1" allowOverlap="1">
            <wp:simplePos x="0" y="0"/>
            <wp:positionH relativeFrom="column">
              <wp:posOffset>2727960</wp:posOffset>
            </wp:positionH>
            <wp:positionV relativeFrom="paragraph">
              <wp:posOffset>139065</wp:posOffset>
            </wp:positionV>
            <wp:extent cx="611505" cy="611505"/>
            <wp:effectExtent l="0" t="0" r="0" b="0"/>
            <wp:wrapSquare wrapText="bothSides"/>
            <wp:docPr id="1" name="Рисунок 1" descr="Описание: Описание: http://qrcoder.ru/code/?http%3A%2F%2F13.rospotrebnadzor.ru%2Fcenter%2Fkonsultatc_centr_dlia_potrebit&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qrcoder.ru/code/?http%3A%2F%2F13.rospotrebnadzor.ru%2Fcenter%2Fkonsultatc_centr_dlia_potrebit&amp;2&a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849" w:rsidRPr="00D01849" w:rsidRDefault="00D01849" w:rsidP="00D01849">
      <w:pPr>
        <w:tabs>
          <w:tab w:val="left" w:pos="426"/>
        </w:tabs>
        <w:autoSpaceDE w:val="0"/>
        <w:autoSpaceDN w:val="0"/>
        <w:adjustRightInd w:val="0"/>
        <w:spacing w:after="0" w:line="240" w:lineRule="auto"/>
        <w:ind w:right="252" w:firstLine="284"/>
        <w:jc w:val="both"/>
        <w:outlineLvl w:val="1"/>
        <w:rPr>
          <w:rFonts w:ascii="Times New Roman" w:eastAsia="Times New Roman" w:hAnsi="Times New Roman" w:cs="Times New Roman"/>
          <w:lang w:val="en-US" w:eastAsia="ru-RU"/>
        </w:rPr>
      </w:pPr>
    </w:p>
    <w:p w:rsidR="00951467" w:rsidRPr="00D01849" w:rsidRDefault="00543BE1">
      <w:pPr>
        <w:rPr>
          <w:lang w:val="en-US"/>
        </w:rPr>
      </w:pPr>
      <w:bookmarkStart w:id="0" w:name="_GoBack"/>
      <w:bookmarkEnd w:id="0"/>
    </w:p>
    <w:sectPr w:rsidR="00951467" w:rsidRPr="00D01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49"/>
    <w:rsid w:val="00044EE1"/>
    <w:rsid w:val="00543BE1"/>
    <w:rsid w:val="00C13A49"/>
    <w:rsid w:val="00C30F54"/>
    <w:rsid w:val="00D01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CAC2"/>
  <w15:chartTrackingRefBased/>
  <w15:docId w15:val="{A0042BA7-BE68-4494-9A1D-B42CCBC7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kczpp@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Терентьева</dc:creator>
  <cp:keywords/>
  <dc:description/>
  <cp:lastModifiedBy>Юля Терентьева</cp:lastModifiedBy>
  <cp:revision>3</cp:revision>
  <dcterms:created xsi:type="dcterms:W3CDTF">2024-09-04T12:08:00Z</dcterms:created>
  <dcterms:modified xsi:type="dcterms:W3CDTF">2024-09-04T12:17:00Z</dcterms:modified>
</cp:coreProperties>
</file>