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63" w:rsidRDefault="002F53E0" w:rsidP="00ED0E01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542934</wp:posOffset>
            </wp:positionH>
            <wp:positionV relativeFrom="paragraph">
              <wp:posOffset>348901</wp:posOffset>
            </wp:positionV>
            <wp:extent cx="1781533" cy="46649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533" cy="46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Какие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смыслу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 xml:space="preserve">являются </w:t>
      </w:r>
      <w:r>
        <w:rPr>
          <w:spacing w:val="-2"/>
        </w:rPr>
        <w:t>потребительскими?</w:t>
      </w:r>
    </w:p>
    <w:p w:rsidR="00C10A63" w:rsidRPr="00634699" w:rsidRDefault="002F53E0">
      <w:pPr>
        <w:pStyle w:val="a3"/>
        <w:spacing w:before="178"/>
        <w:ind w:right="422" w:firstLine="3807"/>
        <w:rPr>
          <w:sz w:val="24"/>
          <w:szCs w:val="24"/>
        </w:rPr>
      </w:pPr>
      <w:r w:rsidRPr="00634699">
        <w:rPr>
          <w:sz w:val="24"/>
          <w:szCs w:val="24"/>
        </w:rPr>
        <w:t>Отношения</w:t>
      </w:r>
      <w:r w:rsidRPr="00634699">
        <w:rPr>
          <w:spacing w:val="-2"/>
          <w:sz w:val="24"/>
          <w:szCs w:val="24"/>
        </w:rPr>
        <w:t xml:space="preserve"> </w:t>
      </w:r>
      <w:r w:rsidRPr="00634699">
        <w:rPr>
          <w:sz w:val="24"/>
          <w:szCs w:val="24"/>
        </w:rPr>
        <w:t>по защите</w:t>
      </w:r>
      <w:r w:rsidRPr="00634699">
        <w:rPr>
          <w:spacing w:val="-3"/>
          <w:sz w:val="24"/>
          <w:szCs w:val="24"/>
        </w:rPr>
        <w:t xml:space="preserve"> </w:t>
      </w:r>
      <w:r w:rsidRPr="00634699">
        <w:rPr>
          <w:sz w:val="24"/>
          <w:szCs w:val="24"/>
        </w:rPr>
        <w:t>прав</w:t>
      </w:r>
      <w:r w:rsidRPr="00634699">
        <w:rPr>
          <w:spacing w:val="-3"/>
          <w:sz w:val="24"/>
          <w:szCs w:val="24"/>
        </w:rPr>
        <w:t xml:space="preserve"> </w:t>
      </w:r>
      <w:r w:rsidRPr="00634699">
        <w:rPr>
          <w:sz w:val="24"/>
          <w:szCs w:val="24"/>
        </w:rPr>
        <w:t>потребителей представляют</w:t>
      </w:r>
      <w:r w:rsidRPr="00634699">
        <w:rPr>
          <w:spacing w:val="-1"/>
          <w:sz w:val="24"/>
          <w:szCs w:val="24"/>
        </w:rPr>
        <w:t xml:space="preserve"> </w:t>
      </w:r>
      <w:r w:rsidRPr="00634699">
        <w:rPr>
          <w:sz w:val="24"/>
          <w:szCs w:val="24"/>
        </w:rPr>
        <w:t xml:space="preserve">собой совокупность отношений, возникающих между </w:t>
      </w:r>
      <w:r w:rsidR="00D47100" w:rsidRPr="00634699">
        <w:rPr>
          <w:sz w:val="24"/>
          <w:szCs w:val="24"/>
        </w:rPr>
        <w:t xml:space="preserve">продавцами, </w:t>
      </w:r>
      <w:r w:rsidRPr="00634699">
        <w:rPr>
          <w:sz w:val="24"/>
          <w:szCs w:val="24"/>
        </w:rPr>
        <w:t>изготовителями, исполнителями, уполномоченными организациями или индивидуальными предпринимателями, импортерами</w:t>
      </w:r>
      <w:r w:rsidR="00D47100" w:rsidRPr="00634699">
        <w:rPr>
          <w:sz w:val="24"/>
          <w:szCs w:val="24"/>
        </w:rPr>
        <w:t>, поставщиками</w:t>
      </w:r>
      <w:r w:rsidR="001658C9" w:rsidRPr="00634699">
        <w:rPr>
          <w:sz w:val="24"/>
          <w:szCs w:val="24"/>
        </w:rPr>
        <w:t xml:space="preserve">, </w:t>
      </w:r>
      <w:proofErr w:type="spellStart"/>
      <w:r w:rsidR="001658C9" w:rsidRPr="00634699">
        <w:rPr>
          <w:sz w:val="24"/>
          <w:szCs w:val="24"/>
        </w:rPr>
        <w:t>агрегаторами</w:t>
      </w:r>
      <w:proofErr w:type="spellEnd"/>
      <w:r w:rsidR="001658C9" w:rsidRPr="00634699">
        <w:rPr>
          <w:sz w:val="24"/>
          <w:szCs w:val="24"/>
        </w:rPr>
        <w:t xml:space="preserve"> информации о продукте</w:t>
      </w:r>
      <w:r w:rsidRPr="00634699">
        <w:rPr>
          <w:sz w:val="24"/>
          <w:szCs w:val="24"/>
        </w:rPr>
        <w:t xml:space="preserve"> с одной стороны и потребителями с другой при продаже товаров, выполнении работ, оказании </w:t>
      </w:r>
      <w:r w:rsidRPr="00634699">
        <w:rPr>
          <w:spacing w:val="-2"/>
          <w:sz w:val="24"/>
          <w:szCs w:val="24"/>
        </w:rPr>
        <w:t>услуг.</w:t>
      </w:r>
    </w:p>
    <w:p w:rsidR="00C10A63" w:rsidRPr="00634699" w:rsidRDefault="002F53E0">
      <w:pPr>
        <w:pStyle w:val="a3"/>
        <w:ind w:right="423" w:firstLine="427"/>
        <w:rPr>
          <w:sz w:val="24"/>
          <w:szCs w:val="24"/>
        </w:rPr>
      </w:pPr>
      <w:r w:rsidRPr="00634699">
        <w:rPr>
          <w:sz w:val="24"/>
          <w:szCs w:val="24"/>
        </w:rPr>
        <w:t>Исходя из Закона «О защите прав потребителей» потребительские отношения могут возникать из возмездных гражданско-правовых договоров, предусмотренных гражданским законодательством.</w:t>
      </w:r>
      <w:r w:rsidR="00EB0CEE" w:rsidRPr="00634699">
        <w:rPr>
          <w:sz w:val="24"/>
          <w:szCs w:val="24"/>
        </w:rPr>
        <w:t xml:space="preserve"> </w:t>
      </w:r>
      <w:r w:rsidRPr="00634699">
        <w:rPr>
          <w:sz w:val="24"/>
          <w:szCs w:val="24"/>
        </w:rPr>
        <w:t>Это может быть договор розничной купли-продажи, договор бытового подряда, договор оказания платных образовательных услуг, договор оказания услуг связи и т.п.</w:t>
      </w:r>
    </w:p>
    <w:p w:rsidR="001658C9" w:rsidRPr="00634699" w:rsidRDefault="001658C9">
      <w:pPr>
        <w:pStyle w:val="a3"/>
        <w:ind w:right="423" w:firstLine="427"/>
        <w:rPr>
          <w:sz w:val="24"/>
          <w:szCs w:val="24"/>
        </w:rPr>
      </w:pPr>
      <w:r w:rsidRPr="00634699">
        <w:rPr>
          <w:sz w:val="24"/>
          <w:szCs w:val="24"/>
        </w:rPr>
        <w:t xml:space="preserve">Декрет Высшего Государственного Совета Союзного государства N 6 «О единых правилах в области защиты прав потребителей» (принят в г. Минске 06.12.2024) распространил сферу действия также на потребительские отношения, возникающие </w:t>
      </w:r>
      <w:r w:rsidR="002F53E0" w:rsidRPr="00634699">
        <w:rPr>
          <w:sz w:val="24"/>
          <w:szCs w:val="24"/>
        </w:rPr>
        <w:t>на безвозмездной основе.</w:t>
      </w:r>
    </w:p>
    <w:p w:rsidR="00BD1FDC" w:rsidRPr="00634699" w:rsidRDefault="002F53E0" w:rsidP="00BD1FDC">
      <w:pPr>
        <w:pStyle w:val="a3"/>
        <w:ind w:right="426" w:firstLine="427"/>
        <w:rPr>
          <w:sz w:val="24"/>
          <w:szCs w:val="24"/>
        </w:rPr>
      </w:pPr>
      <w:r w:rsidRPr="00634699">
        <w:rPr>
          <w:sz w:val="24"/>
          <w:szCs w:val="24"/>
        </w:rPr>
        <w:t>Пленум Верховного Суда в своем Постановлении</w:t>
      </w:r>
      <w:r w:rsidR="00EB0CEE" w:rsidRPr="00634699">
        <w:rPr>
          <w:sz w:val="24"/>
          <w:szCs w:val="24"/>
        </w:rPr>
        <w:t xml:space="preserve"> </w:t>
      </w:r>
      <w:r w:rsidRPr="00634699">
        <w:rPr>
          <w:sz w:val="24"/>
          <w:szCs w:val="24"/>
        </w:rPr>
        <w:t>от 28 июня 2012 г. №17 «О рассмотрении судами гражданских дел по спорам о защите прав потребителей» дает разъяснения</w:t>
      </w:r>
      <w:r w:rsidRPr="00634699">
        <w:rPr>
          <w:spacing w:val="40"/>
          <w:sz w:val="24"/>
          <w:szCs w:val="24"/>
        </w:rPr>
        <w:t xml:space="preserve"> </w:t>
      </w:r>
      <w:r w:rsidRPr="00634699">
        <w:rPr>
          <w:sz w:val="24"/>
          <w:szCs w:val="24"/>
        </w:rPr>
        <w:t>относительно того, на какие группы отношений и в какой части распространяет свое действие закон «О защите прав потребителей».</w:t>
      </w:r>
    </w:p>
    <w:p w:rsidR="00BD1FDC" w:rsidRPr="00634699" w:rsidRDefault="002F53E0" w:rsidP="00BD1FDC">
      <w:pPr>
        <w:pStyle w:val="a3"/>
        <w:ind w:right="426" w:firstLine="427"/>
        <w:rPr>
          <w:sz w:val="24"/>
          <w:szCs w:val="24"/>
        </w:rPr>
      </w:pPr>
      <w:r w:rsidRPr="00634699">
        <w:rPr>
          <w:sz w:val="24"/>
          <w:szCs w:val="24"/>
        </w:rPr>
        <w:t>Так, законодательство о защите прав потребителей применяется к договорам об</w:t>
      </w:r>
      <w:r w:rsidRPr="00634699">
        <w:rPr>
          <w:spacing w:val="-1"/>
          <w:sz w:val="24"/>
          <w:szCs w:val="24"/>
        </w:rPr>
        <w:t xml:space="preserve"> </w:t>
      </w:r>
      <w:r w:rsidRPr="00634699">
        <w:rPr>
          <w:sz w:val="24"/>
          <w:szCs w:val="24"/>
        </w:rPr>
        <w:t>оказании медицинских услуг как в рамках добровольного, так и обязательного медицинского страхования, договорам об оказании риэлтерских услуг.</w:t>
      </w:r>
    </w:p>
    <w:p w:rsidR="00C10A63" w:rsidRPr="00634699" w:rsidRDefault="002F53E0" w:rsidP="00BD1FDC">
      <w:pPr>
        <w:pStyle w:val="a3"/>
        <w:ind w:right="426" w:firstLine="427"/>
        <w:rPr>
          <w:sz w:val="24"/>
          <w:szCs w:val="24"/>
        </w:rPr>
      </w:pPr>
      <w:r w:rsidRPr="00634699">
        <w:rPr>
          <w:sz w:val="24"/>
          <w:szCs w:val="24"/>
        </w:rPr>
        <w:t>Применительно к договорам страхования (как личного, так и имущественного), банковского вклада, энергоснабжения, долевого участия в строительстве многоквартирных домов нормы о защите прав потребителей распространяются лишь в той части, которая касается предоставления потребителю информации</w:t>
      </w:r>
      <w:r w:rsidR="0007432C">
        <w:rPr>
          <w:spacing w:val="46"/>
          <w:sz w:val="24"/>
          <w:szCs w:val="24"/>
        </w:rPr>
        <w:t xml:space="preserve"> </w:t>
      </w:r>
      <w:r w:rsidRPr="00634699">
        <w:rPr>
          <w:sz w:val="24"/>
          <w:szCs w:val="24"/>
        </w:rPr>
        <w:t>об</w:t>
      </w:r>
      <w:r w:rsidR="0007432C">
        <w:rPr>
          <w:spacing w:val="48"/>
          <w:sz w:val="24"/>
          <w:szCs w:val="24"/>
        </w:rPr>
        <w:t xml:space="preserve"> </w:t>
      </w:r>
      <w:bookmarkStart w:id="0" w:name="_GoBack"/>
      <w:bookmarkEnd w:id="0"/>
      <w:r w:rsidRPr="00634699">
        <w:rPr>
          <w:sz w:val="24"/>
          <w:szCs w:val="24"/>
        </w:rPr>
        <w:t>услуге,</w:t>
      </w:r>
      <w:r w:rsidRPr="00634699">
        <w:rPr>
          <w:spacing w:val="46"/>
          <w:sz w:val="24"/>
          <w:szCs w:val="24"/>
        </w:rPr>
        <w:t xml:space="preserve">  </w:t>
      </w:r>
      <w:r w:rsidRPr="00634699">
        <w:rPr>
          <w:sz w:val="24"/>
          <w:szCs w:val="24"/>
        </w:rPr>
        <w:t>возмещения</w:t>
      </w:r>
      <w:r w:rsidRPr="00634699">
        <w:rPr>
          <w:spacing w:val="47"/>
          <w:sz w:val="24"/>
          <w:szCs w:val="24"/>
        </w:rPr>
        <w:t xml:space="preserve">  </w:t>
      </w:r>
      <w:r w:rsidRPr="00634699">
        <w:rPr>
          <w:sz w:val="24"/>
          <w:szCs w:val="24"/>
        </w:rPr>
        <w:t>вреда,</w:t>
      </w:r>
      <w:r w:rsidRPr="00634699">
        <w:rPr>
          <w:spacing w:val="48"/>
          <w:sz w:val="24"/>
          <w:szCs w:val="24"/>
        </w:rPr>
        <w:t xml:space="preserve">  </w:t>
      </w:r>
      <w:r w:rsidRPr="00634699">
        <w:rPr>
          <w:spacing w:val="-2"/>
          <w:sz w:val="24"/>
          <w:szCs w:val="24"/>
        </w:rPr>
        <w:t>компенсации</w:t>
      </w:r>
    </w:p>
    <w:p w:rsidR="00C10A63" w:rsidRPr="00634699" w:rsidRDefault="002F53E0">
      <w:pPr>
        <w:pStyle w:val="a3"/>
        <w:ind w:right="429" w:firstLine="0"/>
        <w:rPr>
          <w:sz w:val="24"/>
          <w:szCs w:val="24"/>
        </w:rPr>
      </w:pPr>
      <w:r w:rsidRPr="00634699">
        <w:rPr>
          <w:sz w:val="24"/>
          <w:szCs w:val="24"/>
        </w:rPr>
        <w:t xml:space="preserve">морального вреда, альтернативной подсудности и освобождения от уплаты государственной </w:t>
      </w:r>
      <w:r w:rsidRPr="00634699">
        <w:rPr>
          <w:spacing w:val="-2"/>
          <w:sz w:val="24"/>
          <w:szCs w:val="24"/>
        </w:rPr>
        <w:t>пошлины.</w:t>
      </w:r>
    </w:p>
    <w:p w:rsidR="00BD1FDC" w:rsidRPr="00634699" w:rsidRDefault="002F53E0" w:rsidP="00BD1FDC">
      <w:pPr>
        <w:pStyle w:val="a3"/>
        <w:spacing w:before="7" w:line="237" w:lineRule="auto"/>
        <w:rPr>
          <w:spacing w:val="-2"/>
          <w:sz w:val="24"/>
          <w:szCs w:val="24"/>
        </w:rPr>
      </w:pPr>
      <w:r w:rsidRPr="00634699">
        <w:rPr>
          <w:sz w:val="24"/>
          <w:szCs w:val="24"/>
        </w:rPr>
        <w:t xml:space="preserve">Законодательством о защите прав потребителей </w:t>
      </w:r>
      <w:r w:rsidRPr="00634699">
        <w:rPr>
          <w:rFonts w:ascii="Segoe Print" w:hAnsi="Segoe Print"/>
          <w:b/>
          <w:sz w:val="24"/>
          <w:szCs w:val="24"/>
        </w:rPr>
        <w:t xml:space="preserve">не регулируются </w:t>
      </w:r>
      <w:r w:rsidRPr="00634699">
        <w:rPr>
          <w:sz w:val="24"/>
          <w:szCs w:val="24"/>
        </w:rPr>
        <w:t xml:space="preserve">следующие группы </w:t>
      </w:r>
      <w:r w:rsidRPr="00634699">
        <w:rPr>
          <w:spacing w:val="-2"/>
          <w:sz w:val="24"/>
          <w:szCs w:val="24"/>
        </w:rPr>
        <w:t>отношений:</w:t>
      </w:r>
    </w:p>
    <w:p w:rsidR="00BD1FDC" w:rsidRPr="00634699" w:rsidRDefault="002F53E0" w:rsidP="00BD1FDC">
      <w:pPr>
        <w:pStyle w:val="a3"/>
        <w:spacing w:before="7" w:line="237" w:lineRule="auto"/>
        <w:rPr>
          <w:sz w:val="24"/>
          <w:szCs w:val="24"/>
        </w:rPr>
      </w:pPr>
      <w:r w:rsidRPr="00634699">
        <w:rPr>
          <w:sz w:val="24"/>
          <w:szCs w:val="24"/>
        </w:rPr>
        <w:t>- отношения, возникающие из гражданско-правовых договоров, не связанных с приобретением товаров, работ и услуг (например, договор государственного займа),</w:t>
      </w:r>
    </w:p>
    <w:p w:rsidR="00BD1FDC" w:rsidRPr="00634699" w:rsidRDefault="002F53E0" w:rsidP="007D6585">
      <w:pPr>
        <w:pStyle w:val="a3"/>
        <w:spacing w:before="7" w:line="237" w:lineRule="auto"/>
        <w:rPr>
          <w:sz w:val="24"/>
          <w:szCs w:val="24"/>
        </w:rPr>
      </w:pPr>
      <w:r w:rsidRPr="00634699">
        <w:rPr>
          <w:sz w:val="24"/>
          <w:szCs w:val="24"/>
        </w:rPr>
        <w:t>- отношения граждан с организациями, вытекающие из</w:t>
      </w:r>
      <w:r w:rsidRPr="00634699">
        <w:rPr>
          <w:spacing w:val="40"/>
          <w:sz w:val="24"/>
          <w:szCs w:val="24"/>
        </w:rPr>
        <w:t xml:space="preserve"> </w:t>
      </w:r>
      <w:r w:rsidRPr="00634699">
        <w:rPr>
          <w:sz w:val="24"/>
          <w:szCs w:val="24"/>
        </w:rPr>
        <w:t>их членства в данных организациях (ТСЖ, жилищно- накопительные кооперативы, садоводческие, огороднические объединения граждан и т.д.). Под действие Закона «О защите</w:t>
      </w:r>
      <w:r w:rsidR="007D6585" w:rsidRPr="00634699">
        <w:rPr>
          <w:sz w:val="24"/>
          <w:szCs w:val="24"/>
        </w:rPr>
        <w:t xml:space="preserve"> </w:t>
      </w:r>
      <w:r w:rsidRPr="00634699">
        <w:rPr>
          <w:sz w:val="24"/>
          <w:szCs w:val="24"/>
        </w:rPr>
        <w:t>прав потребителей» подпадают лишь отношения по поводу предоставления этими организациями платных услуг гражданам.</w:t>
      </w:r>
    </w:p>
    <w:p w:rsidR="00C10A63" w:rsidRPr="00634699" w:rsidRDefault="0094118F">
      <w:pPr>
        <w:pStyle w:val="a3"/>
        <w:rPr>
          <w:sz w:val="24"/>
          <w:szCs w:val="24"/>
        </w:rPr>
      </w:pPr>
      <w:r w:rsidRPr="00634699">
        <w:rPr>
          <w:sz w:val="24"/>
          <w:szCs w:val="24"/>
        </w:rPr>
        <w:t xml:space="preserve">- </w:t>
      </w:r>
      <w:r w:rsidR="002F53E0" w:rsidRPr="00634699">
        <w:rPr>
          <w:sz w:val="24"/>
          <w:szCs w:val="24"/>
        </w:rPr>
        <w:t>отношения по совершению нотариусом нотариальных действий</w:t>
      </w:r>
      <w:r w:rsidR="00BD1FDC" w:rsidRPr="00634699">
        <w:rPr>
          <w:sz w:val="24"/>
          <w:szCs w:val="24"/>
        </w:rPr>
        <w:t xml:space="preserve"> </w:t>
      </w:r>
      <w:r w:rsidR="002F53E0" w:rsidRPr="00634699">
        <w:rPr>
          <w:sz w:val="24"/>
          <w:szCs w:val="24"/>
        </w:rPr>
        <w:t>и отношения по оказанию профессиональной юр</w:t>
      </w:r>
      <w:r w:rsidRPr="00634699">
        <w:rPr>
          <w:sz w:val="24"/>
          <w:szCs w:val="24"/>
        </w:rPr>
        <w:t>идической помощи адвокатами</w:t>
      </w:r>
      <w:r w:rsidR="002F53E0" w:rsidRPr="00634699">
        <w:rPr>
          <w:sz w:val="24"/>
          <w:szCs w:val="24"/>
        </w:rPr>
        <w:t>.</w:t>
      </w:r>
    </w:p>
    <w:sectPr w:rsidR="00C10A63" w:rsidRPr="00634699">
      <w:type w:val="continuous"/>
      <w:pgSz w:w="11910" w:h="16840"/>
      <w:pgMar w:top="38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54BD"/>
    <w:multiLevelType w:val="hybridMultilevel"/>
    <w:tmpl w:val="5FA257F2"/>
    <w:lvl w:ilvl="0" w:tplc="6584F560">
      <w:numFmt w:val="bullet"/>
      <w:lvlText w:val="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6B4069A">
      <w:numFmt w:val="bullet"/>
      <w:lvlText w:val="•"/>
      <w:lvlJc w:val="left"/>
      <w:pPr>
        <w:ind w:left="1260" w:hanging="284"/>
      </w:pPr>
      <w:rPr>
        <w:rFonts w:hint="default"/>
        <w:lang w:val="ru-RU" w:eastAsia="en-US" w:bidi="ar-SA"/>
      </w:rPr>
    </w:lvl>
    <w:lvl w:ilvl="2" w:tplc="9260D55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56F432B6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BD141EF8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5" w:tplc="949EE832">
      <w:numFmt w:val="bullet"/>
      <w:lvlText w:val="•"/>
      <w:lvlJc w:val="left"/>
      <w:pPr>
        <w:ind w:left="5740" w:hanging="284"/>
      </w:pPr>
      <w:rPr>
        <w:rFonts w:hint="default"/>
        <w:lang w:val="ru-RU" w:eastAsia="en-US" w:bidi="ar-SA"/>
      </w:rPr>
    </w:lvl>
    <w:lvl w:ilvl="6" w:tplc="6EAE9188">
      <w:numFmt w:val="bullet"/>
      <w:lvlText w:val="•"/>
      <w:lvlJc w:val="left"/>
      <w:pPr>
        <w:ind w:left="6860" w:hanging="284"/>
      </w:pPr>
      <w:rPr>
        <w:rFonts w:hint="default"/>
        <w:lang w:val="ru-RU" w:eastAsia="en-US" w:bidi="ar-SA"/>
      </w:rPr>
    </w:lvl>
    <w:lvl w:ilvl="7" w:tplc="9F9A41E6">
      <w:numFmt w:val="bullet"/>
      <w:lvlText w:val="•"/>
      <w:lvlJc w:val="left"/>
      <w:pPr>
        <w:ind w:left="7980" w:hanging="284"/>
      </w:pPr>
      <w:rPr>
        <w:rFonts w:hint="default"/>
        <w:lang w:val="ru-RU" w:eastAsia="en-US" w:bidi="ar-SA"/>
      </w:rPr>
    </w:lvl>
    <w:lvl w:ilvl="8" w:tplc="6CAEBE02">
      <w:numFmt w:val="bullet"/>
      <w:lvlText w:val="•"/>
      <w:lvlJc w:val="left"/>
      <w:pPr>
        <w:ind w:left="910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7E0E3294"/>
    <w:multiLevelType w:val="hybridMultilevel"/>
    <w:tmpl w:val="2B90AD34"/>
    <w:lvl w:ilvl="0" w:tplc="232A558A">
      <w:numFmt w:val="bullet"/>
      <w:lvlText w:val="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C2947C">
      <w:numFmt w:val="bullet"/>
      <w:lvlText w:val="•"/>
      <w:lvlJc w:val="left"/>
      <w:pPr>
        <w:ind w:left="1464" w:hanging="284"/>
      </w:pPr>
      <w:rPr>
        <w:rFonts w:hint="default"/>
        <w:lang w:val="ru-RU" w:eastAsia="en-US" w:bidi="ar-SA"/>
      </w:rPr>
    </w:lvl>
    <w:lvl w:ilvl="2" w:tplc="E33287B2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3" w:tplc="294A8A1C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4" w:tplc="EBDACB92">
      <w:numFmt w:val="bullet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 w:tplc="4CEA2FA0">
      <w:numFmt w:val="bullet"/>
      <w:lvlText w:val="•"/>
      <w:lvlJc w:val="left"/>
      <w:pPr>
        <w:ind w:left="4448" w:hanging="284"/>
      </w:pPr>
      <w:rPr>
        <w:rFonts w:hint="default"/>
        <w:lang w:val="ru-RU" w:eastAsia="en-US" w:bidi="ar-SA"/>
      </w:rPr>
    </w:lvl>
    <w:lvl w:ilvl="6" w:tplc="9670ED62">
      <w:numFmt w:val="bullet"/>
      <w:lvlText w:val="•"/>
      <w:lvlJc w:val="left"/>
      <w:pPr>
        <w:ind w:left="5194" w:hanging="284"/>
      </w:pPr>
      <w:rPr>
        <w:rFonts w:hint="default"/>
        <w:lang w:val="ru-RU" w:eastAsia="en-US" w:bidi="ar-SA"/>
      </w:rPr>
    </w:lvl>
    <w:lvl w:ilvl="7" w:tplc="853E3E50">
      <w:numFmt w:val="bullet"/>
      <w:lvlText w:val="•"/>
      <w:lvlJc w:val="left"/>
      <w:pPr>
        <w:ind w:left="5940" w:hanging="284"/>
      </w:pPr>
      <w:rPr>
        <w:rFonts w:hint="default"/>
        <w:lang w:val="ru-RU" w:eastAsia="en-US" w:bidi="ar-SA"/>
      </w:rPr>
    </w:lvl>
    <w:lvl w:ilvl="8" w:tplc="F6BE8E0E">
      <w:numFmt w:val="bullet"/>
      <w:lvlText w:val="•"/>
      <w:lvlJc w:val="left"/>
      <w:pPr>
        <w:ind w:left="6686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0A63"/>
    <w:rsid w:val="0007432C"/>
    <w:rsid w:val="001658C9"/>
    <w:rsid w:val="00265F63"/>
    <w:rsid w:val="002F53E0"/>
    <w:rsid w:val="00634699"/>
    <w:rsid w:val="007D6585"/>
    <w:rsid w:val="0094118F"/>
    <w:rsid w:val="00BD1FDC"/>
    <w:rsid w:val="00C10A63"/>
    <w:rsid w:val="00D47100"/>
    <w:rsid w:val="00EB0CEE"/>
    <w:rsid w:val="00E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8C05"/>
  <w15:docId w15:val="{7C4E065B-0254-468A-8EA9-8D471B2B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424" w:firstLine="424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55"/>
      <w:ind w:left="5664" w:right="439" w:hanging="2132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872" w:right="428" w:firstLine="4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Терентьева</cp:lastModifiedBy>
  <cp:revision>10</cp:revision>
  <dcterms:created xsi:type="dcterms:W3CDTF">2025-07-08T08:39:00Z</dcterms:created>
  <dcterms:modified xsi:type="dcterms:W3CDTF">2025-08-11T06:38:00Z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2016</vt:lpwstr>
  </property>
</Properties>
</file>